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B32" w:rsidRDefault="00AF5B97">
      <w:pPr>
        <w:widowControl/>
        <w:spacing w:before="360" w:line="320" w:lineRule="exact"/>
        <w:jc w:val="center"/>
        <w:rPr>
          <w:rFonts w:ascii="標楷體" w:eastAsia="標楷體" w:hAnsi="標楷體" w:cs="細明體"/>
          <w:b/>
          <w:color w:val="333333"/>
          <w:kern w:val="0"/>
          <w:sz w:val="32"/>
          <w:szCs w:val="24"/>
        </w:rPr>
      </w:pPr>
      <w:bookmarkStart w:id="0" w:name="_GoBack"/>
      <w:bookmarkEnd w:id="0"/>
      <w:r>
        <w:rPr>
          <w:rFonts w:ascii="標楷體" w:eastAsia="標楷體" w:hAnsi="標楷體" w:cs="細明體"/>
          <w:b/>
          <w:color w:val="333333"/>
          <w:kern w:val="0"/>
          <w:sz w:val="32"/>
          <w:szCs w:val="24"/>
        </w:rPr>
        <w:t>臺灣證券交易所股份有限公司認購（售）權證上市契約</w:t>
      </w:r>
    </w:p>
    <w:p w:rsidR="00834B32" w:rsidRDefault="00AF5B97">
      <w:pPr>
        <w:widowControl/>
        <w:spacing w:before="360" w:line="320" w:lineRule="exact"/>
        <w:jc w:val="both"/>
        <w:rPr>
          <w:rFonts w:ascii="標楷體" w:eastAsia="標楷體" w:hAnsi="標楷體" w:cs="細明體"/>
          <w:color w:val="333333"/>
          <w:kern w:val="0"/>
          <w:szCs w:val="24"/>
        </w:rPr>
      </w:pPr>
      <w:r>
        <w:rPr>
          <w:rFonts w:ascii="標楷體" w:eastAsia="標楷體" w:hAnsi="標楷體" w:cs="細明體"/>
          <w:color w:val="333333"/>
          <w:kern w:val="0"/>
          <w:szCs w:val="24"/>
        </w:rPr>
        <w:t>機構（以下簡稱發行人）依證券交易法第一百三十九條規定，向臺灣證券交易所股份有限公司（以下簡稱證券交易所）為其奉准公開發行之認購（售）權證申請在證券交易所上市，依同法第一百四十一條之規定，暨證券交易所有價證券上市契約準則所規定事項，經雙方同意訂立本契約，茲將雙方應行遵守之事項開列如下：</w:t>
      </w:r>
    </w:p>
    <w:p w:rsidR="00834B32" w:rsidRDefault="00AF5B97">
      <w:pPr>
        <w:widowControl/>
        <w:spacing w:before="180" w:line="320" w:lineRule="exact"/>
        <w:jc w:val="both"/>
        <w:rPr>
          <w:rFonts w:ascii="標楷體" w:eastAsia="標楷體" w:hAnsi="標楷體" w:cs="細明體"/>
          <w:color w:val="333333"/>
          <w:kern w:val="0"/>
          <w:szCs w:val="24"/>
        </w:rPr>
      </w:pPr>
      <w:r>
        <w:rPr>
          <w:rFonts w:ascii="標楷體" w:eastAsia="標楷體" w:hAnsi="標楷體" w:cs="細明體"/>
          <w:color w:val="333333"/>
          <w:kern w:val="0"/>
          <w:szCs w:val="24"/>
        </w:rPr>
        <w:t>第一條</w:t>
      </w: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發行人依本契約申請上市之認購（售）權證相關事項：</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發行日期（增額發行請</w:t>
      </w:r>
      <w:r>
        <w:rPr>
          <w:rFonts w:ascii="標楷體" w:eastAsia="標楷體" w:hAnsi="標楷體" w:cs="細明體"/>
          <w:color w:val="333333"/>
          <w:kern w:val="0"/>
          <w:szCs w:val="24"/>
        </w:rPr>
        <w:t>│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填初次發行日期）</w:t>
      </w:r>
      <w:r>
        <w:rPr>
          <w:rFonts w:ascii="標楷體" w:eastAsia="標楷體" w:hAnsi="標楷體" w:cs="細明體"/>
          <w:color w:val="333333"/>
          <w:kern w:val="0"/>
          <w:szCs w:val="24"/>
        </w:rPr>
        <w:t xml:space="preserve">    │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增額發行權證簡稱</w:t>
      </w:r>
      <w:r>
        <w:rPr>
          <w:rFonts w:ascii="標楷體" w:eastAsia="標楷體" w:hAnsi="標楷體" w:cs="細明體"/>
          <w:color w:val="333333"/>
          <w:kern w:val="0"/>
          <w:szCs w:val="24"/>
        </w:rPr>
        <w:t xml:space="preserve">    │                             </w:t>
      </w:r>
      <w:r>
        <w:rPr>
          <w:rFonts w:ascii="標楷體" w:eastAsia="標楷體" w:hAnsi="標楷體" w:cs="細明體"/>
          <w:color w:val="333333"/>
          <w:kern w:val="0"/>
          <w:szCs w:val="24"/>
        </w:rPr>
        <w:t xml:space="preserve">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（初次發行免填）</w:t>
      </w:r>
      <w:r>
        <w:rPr>
          <w:rFonts w:ascii="標楷體" w:eastAsia="標楷體" w:hAnsi="標楷體" w:cs="細明體"/>
          <w:color w:val="333333"/>
          <w:kern w:val="0"/>
          <w:szCs w:val="24"/>
        </w:rPr>
        <w:t xml:space="preserve">    │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增額發行權證代號</w:t>
      </w:r>
      <w:r>
        <w:rPr>
          <w:rFonts w:ascii="標楷體" w:eastAsia="標楷體" w:hAnsi="標楷體" w:cs="細明體"/>
          <w:color w:val="333333"/>
          <w:kern w:val="0"/>
          <w:szCs w:val="24"/>
        </w:rPr>
        <w:t xml:space="preserve">    │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（初次發行免填）</w:t>
      </w:r>
      <w:r>
        <w:rPr>
          <w:rFonts w:ascii="標楷體" w:eastAsia="標楷體" w:hAnsi="標楷體" w:cs="細明體"/>
          <w:color w:val="333333"/>
          <w:kern w:val="0"/>
          <w:szCs w:val="24"/>
        </w:rPr>
        <w:t xml:space="preserve">    │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種類</w:t>
      </w: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 xml:space="preserve">          │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p>
    <w:p w:rsidR="00834B32" w:rsidRDefault="00AF5B97">
      <w:pPr>
        <w:widowControl/>
        <w:spacing w:line="320" w:lineRule="exact"/>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標</w:t>
      </w:r>
      <w:r>
        <w:rPr>
          <w:rFonts w:ascii="標楷體" w:eastAsia="標楷體" w:hAnsi="標楷體" w:cs="細明體"/>
          <w:kern w:val="0"/>
          <w:szCs w:val="24"/>
        </w:rPr>
        <w:t>的或其組</w:t>
      </w:r>
      <w:r>
        <w:rPr>
          <w:rFonts w:ascii="標楷體" w:eastAsia="標楷體" w:hAnsi="標楷體" w:cs="細明體"/>
          <w:color w:val="333333"/>
          <w:kern w:val="0"/>
          <w:szCs w:val="24"/>
        </w:rPr>
        <w:t>合</w:t>
      </w:r>
      <w:r>
        <w:rPr>
          <w:rFonts w:ascii="標楷體" w:eastAsia="標楷體" w:hAnsi="標楷體" w:cs="細明體"/>
          <w:color w:val="333333"/>
          <w:kern w:val="0"/>
          <w:szCs w:val="24"/>
        </w:rPr>
        <w:t xml:space="preserve">        │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發行單位總數（增額發</w:t>
      </w:r>
      <w:r>
        <w:rPr>
          <w:rFonts w:ascii="標楷體" w:eastAsia="標楷體" w:hAnsi="標楷體" w:cs="細明體"/>
          <w:color w:val="333333"/>
          <w:kern w:val="0"/>
          <w:szCs w:val="24"/>
        </w:rPr>
        <w:t>│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行請填增額發行數量）</w:t>
      </w: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 xml:space="preserve">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行使比例</w:t>
      </w:r>
      <w:r>
        <w:rPr>
          <w:rFonts w:ascii="標楷體" w:eastAsia="標楷體" w:hAnsi="標楷體" w:cs="細明體"/>
          <w:color w:val="333333"/>
          <w:kern w:val="0"/>
          <w:szCs w:val="24"/>
        </w:rPr>
        <w:t xml:space="preserve">            │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發行價格</w:t>
      </w:r>
      <w:r>
        <w:rPr>
          <w:rFonts w:ascii="標楷體" w:eastAsia="標楷體" w:hAnsi="標楷體" w:cs="細明體"/>
          <w:color w:val="333333"/>
          <w:kern w:val="0"/>
          <w:szCs w:val="24"/>
        </w:rPr>
        <w:t xml:space="preserve">            │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存續期間</w:t>
      </w:r>
      <w:r>
        <w:rPr>
          <w:rFonts w:ascii="標楷體" w:eastAsia="標楷體" w:hAnsi="標楷體" w:cs="細明體"/>
          <w:color w:val="333333"/>
          <w:kern w:val="0"/>
          <w:szCs w:val="24"/>
        </w:rPr>
        <w:t xml:space="preserve">            │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p>
    <w:p w:rsidR="00834B32" w:rsidRDefault="00AF5B97">
      <w:pPr>
        <w:widowControl/>
        <w:spacing w:line="320" w:lineRule="exact"/>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履約價格</w:t>
      </w:r>
      <w:r>
        <w:rPr>
          <w:rFonts w:ascii="標楷體" w:eastAsia="標楷體" w:hAnsi="標楷體" w:cs="細明體"/>
          <w:kern w:val="0"/>
          <w:szCs w:val="24"/>
        </w:rPr>
        <w:t>（點數）</w:t>
      </w:r>
      <w:r>
        <w:rPr>
          <w:rFonts w:ascii="標楷體" w:eastAsia="標楷體" w:hAnsi="標楷體" w:cs="細明體"/>
          <w:color w:val="333333"/>
          <w:kern w:val="0"/>
          <w:szCs w:val="24"/>
        </w:rPr>
        <w:t xml:space="preserve">  │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履約期間（或日期）</w:t>
      </w:r>
      <w:r>
        <w:rPr>
          <w:rFonts w:ascii="標楷體" w:eastAsia="標楷體" w:hAnsi="標楷體" w:cs="細明體"/>
          <w:color w:val="333333"/>
          <w:kern w:val="0"/>
          <w:szCs w:val="24"/>
        </w:rPr>
        <w:t xml:space="preserve">  │                      </w:t>
      </w:r>
      <w:r>
        <w:rPr>
          <w:rFonts w:ascii="標楷體" w:eastAsia="標楷體" w:hAnsi="標楷體" w:cs="細明體"/>
          <w:color w:val="333333"/>
          <w:kern w:val="0"/>
          <w:szCs w:val="24"/>
        </w:rPr>
        <w:t xml:space="preserve">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其他發行條件</w:t>
      </w:r>
      <w:r>
        <w:rPr>
          <w:rFonts w:ascii="標楷體" w:eastAsia="標楷體" w:hAnsi="標楷體" w:cs="細明體"/>
          <w:color w:val="333333"/>
          <w:kern w:val="0"/>
          <w:szCs w:val="24"/>
        </w:rPr>
        <w:t xml:space="preserve">        │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流動量提供者名稱</w:t>
      </w:r>
      <w:r>
        <w:rPr>
          <w:rFonts w:ascii="標楷體" w:eastAsia="標楷體" w:hAnsi="標楷體" w:cs="細明體"/>
          <w:color w:val="333333"/>
          <w:kern w:val="0"/>
          <w:szCs w:val="24"/>
        </w:rPr>
        <w:t xml:space="preserve">    │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p>
    <w:p w:rsidR="00834B32" w:rsidRDefault="00AF5B97">
      <w:pPr>
        <w:widowControl/>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流動量提供者報價方式</w:t>
      </w: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 xml:space="preserve">                         │</w:t>
      </w:r>
    </w:p>
    <w:p w:rsidR="00834B32" w:rsidRDefault="00AF5B97">
      <w:pPr>
        <w:widowControl/>
        <w:spacing w:line="320" w:lineRule="exact"/>
      </w:pPr>
      <w:r>
        <w:rPr>
          <w:rFonts w:ascii="標楷體" w:eastAsia="標楷體" w:hAnsi="標楷體" w:cs="細明體"/>
          <w:color w:val="333333"/>
          <w:kern w:val="0"/>
          <w:szCs w:val="24"/>
        </w:rPr>
        <w:t xml:space="preserve">        └──────────┴─</w:t>
      </w:r>
      <w:r>
        <w:rPr>
          <w:rFonts w:ascii="標楷體" w:eastAsia="標楷體" w:hAnsi="標楷體" w:cs="新細明體"/>
          <w:color w:val="333333"/>
          <w:kern w:val="0"/>
          <w:szCs w:val="24"/>
        </w:rPr>
        <w:t>──────────────┘</w:t>
      </w:r>
    </w:p>
    <w:p w:rsidR="00834B32" w:rsidRDefault="00AF5B97">
      <w:pPr>
        <w:widowControl/>
        <w:spacing w:line="320" w:lineRule="exact"/>
        <w:ind w:left="991"/>
        <w:jc w:val="both"/>
        <w:rPr>
          <w:rFonts w:ascii="標楷體" w:eastAsia="標楷體" w:hAnsi="標楷體" w:cs="細明體"/>
          <w:color w:val="333333"/>
          <w:kern w:val="0"/>
          <w:szCs w:val="24"/>
        </w:rPr>
      </w:pPr>
      <w:r>
        <w:rPr>
          <w:rFonts w:ascii="標楷體" w:eastAsia="標楷體" w:hAnsi="標楷體" w:cs="細明體"/>
          <w:color w:val="333333"/>
          <w:kern w:val="0"/>
          <w:szCs w:val="24"/>
        </w:rPr>
        <w:lastRenderedPageBreak/>
        <w:t>上市認購（售）權證嗣後如因發行計畫內容調整或變更，其經證券交易所同意後之認購（售）權證上市申請書所載之上市認購（售）權證調整或變更事項，亦視為本認購（售）權證上市契約書之一部分。</w:t>
      </w:r>
    </w:p>
    <w:p w:rsidR="00834B32" w:rsidRDefault="00AF5B97">
      <w:pPr>
        <w:widowControl/>
        <w:spacing w:before="180" w:line="320" w:lineRule="exact"/>
        <w:ind w:left="991" w:hanging="989"/>
        <w:jc w:val="both"/>
        <w:rPr>
          <w:rFonts w:ascii="標楷體" w:eastAsia="標楷體" w:hAnsi="標楷體" w:cs="細明體"/>
          <w:color w:val="333333"/>
          <w:kern w:val="0"/>
          <w:szCs w:val="24"/>
        </w:rPr>
      </w:pPr>
      <w:r>
        <w:rPr>
          <w:rFonts w:ascii="標楷體" w:eastAsia="標楷體" w:hAnsi="標楷體" w:cs="細明體"/>
          <w:color w:val="333333"/>
          <w:kern w:val="0"/>
          <w:szCs w:val="24"/>
        </w:rPr>
        <w:t>第二條</w:t>
      </w: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證券相關法令、證券交易所章則暨公告事項規定均為認購（售）權證上市契約之一部分，發行人及證券交易所皆應遵守之。</w:t>
      </w:r>
    </w:p>
    <w:p w:rsidR="00834B32" w:rsidRDefault="00AF5B97">
      <w:pPr>
        <w:widowControl/>
        <w:spacing w:before="180" w:line="320" w:lineRule="exact"/>
        <w:ind w:left="991" w:hanging="989"/>
        <w:jc w:val="both"/>
        <w:rPr>
          <w:rFonts w:ascii="標楷體" w:eastAsia="標楷體" w:hAnsi="標楷體" w:cs="細明體"/>
          <w:color w:val="333333"/>
          <w:kern w:val="0"/>
          <w:szCs w:val="24"/>
        </w:rPr>
      </w:pPr>
      <w:r>
        <w:rPr>
          <w:rFonts w:ascii="標楷體" w:eastAsia="標楷體" w:hAnsi="標楷體" w:cs="細明體"/>
          <w:color w:val="333333"/>
          <w:kern w:val="0"/>
          <w:szCs w:val="24"/>
        </w:rPr>
        <w:t>第三條</w:t>
      </w: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發行人於上市契約生效後，應依「臺灣證券交易所股份有限公司有價證券上市費費率</w:t>
      </w:r>
      <w:r>
        <w:rPr>
          <w:rFonts w:ascii="標楷體" w:eastAsia="標楷體" w:hAnsi="標楷體" w:cs="細明體"/>
          <w:color w:val="333333"/>
          <w:kern w:val="0"/>
          <w:szCs w:val="24"/>
        </w:rPr>
        <w:t>表」所列上市費標準，於上市時向證券交易所繳付認購（售）權證上市費。</w:t>
      </w:r>
    </w:p>
    <w:p w:rsidR="00834B32" w:rsidRDefault="00AF5B97">
      <w:pPr>
        <w:widowControl/>
        <w:spacing w:before="180" w:line="320" w:lineRule="exact"/>
        <w:ind w:left="991" w:hanging="989"/>
        <w:jc w:val="both"/>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第四條</w:t>
      </w: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證券交易所依據有關法令、證券交易所章則規定或基於其他足以影響市場秩序或投資人權益之原因而認為有必要時，得對上市之認購（售）權證予以變更交易方式或暫停交易，並應於執行後一個月內報請主管機關備查；或予以停止買賣或終止上市，並報請主管機關備查。</w:t>
      </w:r>
    </w:p>
    <w:p w:rsidR="00834B32" w:rsidRDefault="00AF5B97">
      <w:pPr>
        <w:widowControl/>
        <w:spacing w:before="180" w:line="320" w:lineRule="exact"/>
        <w:ind w:left="991" w:hanging="989"/>
        <w:jc w:val="both"/>
        <w:rPr>
          <w:rFonts w:ascii="標楷體" w:eastAsia="標楷體" w:hAnsi="標楷體" w:cs="細明體"/>
          <w:color w:val="333333"/>
          <w:kern w:val="0"/>
          <w:szCs w:val="24"/>
        </w:rPr>
      </w:pPr>
      <w:r>
        <w:rPr>
          <w:rFonts w:ascii="標楷體" w:eastAsia="標楷體" w:hAnsi="標楷體" w:cs="細明體"/>
          <w:color w:val="333333"/>
          <w:kern w:val="0"/>
          <w:szCs w:val="24"/>
        </w:rPr>
        <w:t>第五條</w:t>
      </w: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本契約一式五份，除一份檢送主管機關外，餘分由發行人及證券交易所存執。</w:t>
      </w:r>
    </w:p>
    <w:p w:rsidR="00834B32" w:rsidRDefault="00AF5B97">
      <w:pPr>
        <w:widowControl/>
        <w:spacing w:before="180" w:line="320" w:lineRule="exact"/>
        <w:ind w:left="991" w:hanging="989"/>
        <w:jc w:val="both"/>
        <w:rPr>
          <w:rFonts w:ascii="標楷體" w:eastAsia="標楷體" w:hAnsi="標楷體" w:cs="細明體"/>
          <w:color w:val="333333"/>
          <w:kern w:val="0"/>
          <w:szCs w:val="24"/>
        </w:rPr>
      </w:pPr>
      <w:r>
        <w:rPr>
          <w:rFonts w:ascii="標楷體" w:eastAsia="標楷體" w:hAnsi="標楷體" w:cs="細明體"/>
          <w:color w:val="333333"/>
          <w:kern w:val="0"/>
          <w:szCs w:val="24"/>
        </w:rPr>
        <w:t>第六條</w:t>
      </w: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本契約應報請主管機關備查。</w:t>
      </w:r>
    </w:p>
    <w:p w:rsidR="00834B32" w:rsidRDefault="00AF5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立約人</w:t>
      </w:r>
    </w:p>
    <w:p w:rsidR="00834B32" w:rsidRDefault="00AF5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發行人：</w:t>
      </w:r>
    </w:p>
    <w:p w:rsidR="00834B32" w:rsidRDefault="00AF5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代表人：</w:t>
      </w:r>
    </w:p>
    <w:p w:rsidR="00834B32" w:rsidRDefault="00AF5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地</w:t>
      </w: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址：</w:t>
      </w:r>
    </w:p>
    <w:p w:rsidR="00834B32" w:rsidRDefault="00AF5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臺灣證券交易所股份有限公司</w:t>
      </w:r>
    </w:p>
    <w:p w:rsidR="00834B32" w:rsidRDefault="00AF5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代表人：</w:t>
      </w:r>
    </w:p>
    <w:p w:rsidR="00834B32" w:rsidRDefault="00AF5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color w:val="333333"/>
          <w:kern w:val="0"/>
          <w:szCs w:val="24"/>
        </w:rPr>
      </w:pP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地</w:t>
      </w:r>
      <w:r>
        <w:rPr>
          <w:rFonts w:ascii="標楷體" w:eastAsia="標楷體" w:hAnsi="標楷體" w:cs="細明體"/>
          <w:color w:val="333333"/>
          <w:kern w:val="0"/>
          <w:szCs w:val="24"/>
        </w:rPr>
        <w:t xml:space="preserve">  </w:t>
      </w:r>
      <w:r>
        <w:rPr>
          <w:rFonts w:ascii="標楷體" w:eastAsia="標楷體" w:hAnsi="標楷體" w:cs="細明體"/>
          <w:color w:val="333333"/>
          <w:kern w:val="0"/>
          <w:szCs w:val="24"/>
        </w:rPr>
        <w:t>址：</w:t>
      </w:r>
    </w:p>
    <w:p w:rsidR="00834B32" w:rsidRDefault="00834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color w:val="333333"/>
          <w:kern w:val="0"/>
          <w:szCs w:val="24"/>
        </w:rPr>
      </w:pPr>
    </w:p>
    <w:p w:rsidR="00834B32" w:rsidRDefault="00834B32">
      <w:pPr>
        <w:spacing w:line="320" w:lineRule="exact"/>
        <w:ind w:right="720"/>
        <w:jc w:val="right"/>
        <w:rPr>
          <w:rFonts w:ascii="標楷體" w:eastAsia="標楷體" w:hAnsi="標楷體" w:cs="新細明體"/>
          <w:color w:val="333333"/>
          <w:kern w:val="0"/>
          <w:szCs w:val="24"/>
        </w:rPr>
      </w:pPr>
    </w:p>
    <w:p w:rsidR="00834B32" w:rsidRDefault="00AF5B97">
      <w:pPr>
        <w:spacing w:line="320" w:lineRule="exact"/>
        <w:ind w:right="720"/>
        <w:jc w:val="right"/>
      </w:pPr>
      <w:r>
        <w:rPr>
          <w:rFonts w:ascii="標楷體" w:eastAsia="標楷體" w:hAnsi="標楷體" w:cs="新細明體"/>
          <w:color w:val="333333"/>
          <w:kern w:val="0"/>
          <w:szCs w:val="24"/>
        </w:rPr>
        <w:t>中華民國</w:t>
      </w:r>
      <w:r>
        <w:rPr>
          <w:rFonts w:ascii="標楷體" w:eastAsia="標楷體" w:hAnsi="標楷體" w:cs="新細明體"/>
          <w:color w:val="333333"/>
          <w:kern w:val="0"/>
          <w:szCs w:val="24"/>
        </w:rPr>
        <w:t xml:space="preserve">        </w:t>
      </w:r>
      <w:r>
        <w:rPr>
          <w:rFonts w:ascii="標楷體" w:eastAsia="標楷體" w:hAnsi="標楷體" w:cs="新細明體"/>
          <w:color w:val="333333"/>
          <w:kern w:val="0"/>
          <w:szCs w:val="24"/>
        </w:rPr>
        <w:t>年</w:t>
      </w:r>
      <w:r>
        <w:rPr>
          <w:rFonts w:ascii="標楷體" w:eastAsia="標楷體" w:hAnsi="標楷體" w:cs="新細明體"/>
          <w:color w:val="333333"/>
          <w:kern w:val="0"/>
          <w:szCs w:val="24"/>
        </w:rPr>
        <w:t xml:space="preserve">        </w:t>
      </w:r>
      <w:r>
        <w:rPr>
          <w:rFonts w:ascii="標楷體" w:eastAsia="標楷體" w:hAnsi="標楷體" w:cs="新細明體"/>
          <w:color w:val="333333"/>
          <w:kern w:val="0"/>
          <w:szCs w:val="24"/>
        </w:rPr>
        <w:t>月</w:t>
      </w:r>
      <w:r>
        <w:rPr>
          <w:rFonts w:ascii="標楷體" w:eastAsia="標楷體" w:hAnsi="標楷體" w:cs="新細明體"/>
          <w:color w:val="333333"/>
          <w:kern w:val="0"/>
          <w:szCs w:val="24"/>
        </w:rPr>
        <w:t xml:space="preserve">        </w:t>
      </w:r>
      <w:r>
        <w:rPr>
          <w:rFonts w:ascii="標楷體" w:eastAsia="標楷體" w:hAnsi="標楷體" w:cs="新細明體"/>
          <w:color w:val="333333"/>
          <w:kern w:val="0"/>
          <w:szCs w:val="24"/>
        </w:rPr>
        <w:t>日</w:t>
      </w:r>
    </w:p>
    <w:sectPr w:rsidR="00834B32">
      <w:footerReference w:type="default" r:id="rId6"/>
      <w:pgSz w:w="11906" w:h="16838"/>
      <w:pgMar w:top="1134" w:right="1134" w:bottom="1134" w:left="1134" w:header="851" w:footer="992" w:gutter="0"/>
      <w:cols w:space="720"/>
      <w:docGrid w:type="lines" w:linePitch="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B97" w:rsidRDefault="00AF5B97">
      <w:r>
        <w:separator/>
      </w:r>
    </w:p>
  </w:endnote>
  <w:endnote w:type="continuationSeparator" w:id="0">
    <w:p w:rsidR="00AF5B97" w:rsidRDefault="00AF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769" w:rsidRDefault="00AF5B97">
    <w:pPr>
      <w:pStyle w:val="a4"/>
      <w:jc w:val="center"/>
    </w:pPr>
    <w:r>
      <w:rPr>
        <w:lang w:val="zh-TW"/>
      </w:rPr>
      <w:fldChar w:fldCharType="begin"/>
    </w:r>
    <w:r>
      <w:rPr>
        <w:lang w:val="zh-TW"/>
      </w:rPr>
      <w:instrText xml:space="preserve"> PAGE </w:instrText>
    </w:r>
    <w:r>
      <w:rPr>
        <w:lang w:val="zh-TW"/>
      </w:rPr>
      <w:fldChar w:fldCharType="separate"/>
    </w:r>
    <w:r w:rsidR="00EB7458">
      <w:rPr>
        <w:noProof/>
        <w:lang w:val="zh-TW"/>
      </w:rPr>
      <w:t>2</w:t>
    </w:r>
    <w:r>
      <w:rPr>
        <w:lang w:val="zh-TW"/>
      </w:rPr>
      <w:fldChar w:fldCharType="end"/>
    </w:r>
  </w:p>
  <w:p w:rsidR="003A3769" w:rsidRDefault="00AF5B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B97" w:rsidRDefault="00AF5B97">
      <w:r>
        <w:rPr>
          <w:color w:val="000000"/>
        </w:rPr>
        <w:separator/>
      </w:r>
    </w:p>
  </w:footnote>
  <w:footnote w:type="continuationSeparator" w:id="0">
    <w:p w:rsidR="00AF5B97" w:rsidRDefault="00AF5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34B32"/>
    <w:rsid w:val="00834B32"/>
    <w:rsid w:val="00AF5B97"/>
    <w:rsid w:val="00EB7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FA5B8-B225-495C-9323-DD9CB3A6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libri Light" w:eastAsia="新細明體" w:hAnsi="Calibri Light" w:cs="Times New Roman"/>
      <w:b/>
      <w:bCs/>
      <w:kern w:val="3"/>
      <w:sz w:val="52"/>
      <w:szCs w:val="52"/>
    </w:rPr>
  </w:style>
  <w:style w:type="paragraph" w:styleId="a3">
    <w:name w:val="List Paragraph"/>
    <w:basedOn w:val="a"/>
    <w:pPr>
      <w:ind w:left="48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4">
    <w:name w:val="footer"/>
    <w:basedOn w:val="a"/>
    <w:pPr>
      <w:tabs>
        <w:tab w:val="center" w:pos="4153"/>
        <w:tab w:val="right" w:pos="8306"/>
      </w:tabs>
      <w:snapToGrid w:val="0"/>
    </w:pPr>
    <w:rPr>
      <w:sz w:val="20"/>
      <w:szCs w:val="20"/>
    </w:rPr>
  </w:style>
  <w:style w:type="character" w:customStyle="1" w:styleId="a5">
    <w:name w:val="頁尾 字元"/>
    <w:basedOn w:val="a0"/>
    <w:rPr>
      <w:sz w:val="20"/>
      <w:szCs w:val="20"/>
    </w:rPr>
  </w:style>
  <w:style w:type="character" w:styleId="a6">
    <w:name w:val="page number"/>
    <w:basedOn w:val="a0"/>
  </w:style>
  <w:style w:type="paragraph" w:styleId="2">
    <w:name w:val="Body Text 2"/>
    <w:basedOn w:val="a"/>
    <w:rPr>
      <w:rFonts w:ascii="新細明體" w:hAnsi="新細明體"/>
      <w:b/>
      <w:color w:val="000000"/>
      <w:sz w:val="40"/>
      <w:szCs w:val="20"/>
    </w:rPr>
  </w:style>
  <w:style w:type="character" w:customStyle="1" w:styleId="20">
    <w:name w:val="本文 2 字元"/>
    <w:basedOn w:val="a0"/>
    <w:rPr>
      <w:rFonts w:ascii="新細明體" w:eastAsia="新細明體" w:hAnsi="新細明體" w:cs="Times New Roman"/>
      <w:b/>
      <w:color w:val="000000"/>
      <w:sz w:val="40"/>
      <w:szCs w:val="20"/>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character" w:styleId="a9">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2121</Characters>
  <Application>Microsoft Office Word</Application>
  <DocSecurity>0</DocSecurity>
  <Lines>17</Lines>
  <Paragraphs>4</Paragraphs>
  <ScaleCrop>false</ScaleCrop>
  <Company>TWSE 臺灣證券交易所</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dc:description/>
  <cp:lastModifiedBy>brix</cp:lastModifiedBy>
  <cp:revision>2</cp:revision>
  <dcterms:created xsi:type="dcterms:W3CDTF">2024-08-27T07:27:00Z</dcterms:created>
  <dcterms:modified xsi:type="dcterms:W3CDTF">2024-08-27T07:27:00Z</dcterms:modified>
</cp:coreProperties>
</file>